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D8C" w:rsidRPr="00DE381F" w:rsidRDefault="00C84D8C" w:rsidP="00DE38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CARDIOVASCULAR OUTCOMES OF AMLODIPINE-BASED COMBINATION THERAPIES IN HIGH-RISK HYPERTENSIVE PATIENTS</w:t>
      </w:r>
    </w:p>
    <w:p w:rsidR="00DE381F" w:rsidRDefault="00C84D8C" w:rsidP="00DE38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P.P. Lu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</w:rPr>
        <w:t>, X. Meng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</w:rPr>
        <w:t>, A.H. Hu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</w:rPr>
        <w:t>, W. Wang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</w:rPr>
        <w:t>, L.Y. Ma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</w:rPr>
        <w:t>, Y.Q. Zhang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</w:rPr>
        <w:t>, X.Z. Zhang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</w:rPr>
        <w:t>, L.H. Ma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DE381F" w:rsidRDefault="00C84D8C" w:rsidP="00DE381F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</w:rPr>
        <w:t>L.S. Liu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</w:rPr>
        <w:t>, X.L. Zhou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DE381F" w:rsidRDefault="00C84D8C" w:rsidP="00DE38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</w:rPr>
        <w:t>Fuwai Hospital, National Center for Cardiovascular Diseases, Chinese Academy of Medical Sciences and Peking Union Medical College, Bei Jing, China</w:t>
      </w:r>
    </w:p>
    <w:p w:rsidR="00C84D8C" w:rsidRDefault="00C84D8C" w:rsidP="00DE38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</w:rPr>
        <w:t>Beijing Hypertension League Institute, Chinese Hypertension League, Bei Jing, China</w:t>
      </w:r>
    </w:p>
    <w:p w:rsidR="00DE381F" w:rsidRPr="00DE381F" w:rsidRDefault="00DE381F" w:rsidP="00DE38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81F" w:rsidRDefault="00C84D8C" w:rsidP="00DE381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</w:rPr>
        <w:t> To evaluate the treatment efficacy with the combination of a dihydropyridine calcium-channel blocker amlodipine with diuretics or angiotensin II receptor blocker on reducing the rate of cardiovascular events.</w:t>
      </w:r>
    </w:p>
    <w:p w:rsidR="00DE381F" w:rsidRDefault="00C84D8C" w:rsidP="00DE381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Methods: 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</w:rPr>
        <w:t>In a randomized, open-label, blinded-endpoint trial, hypertensive patients at high risk for cardiovascular events from 180 clinical centers in China were assigned to receive treatment with either amlodipine plus amiloride/hydrochlorothiazide (n=6776) or telmisartan (n=6766). The primary outcome was the composite of nonfatal stroke, nonfatal myocardial infarction or death from cardiovascular causes.</w:t>
      </w:r>
    </w:p>
    <w:p w:rsidR="00DE381F" w:rsidRDefault="00C84D8C" w:rsidP="00DE381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 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</w:rPr>
        <w:t>The median follow-up was 41 months. No between-group difference was observed in the mean BP lowering. However, the primary-outcome events were reduced by 23.7% in the amlodipine-diuretics group compared with the amlodipine-telmisartan group (hazard ratio [HR], 0.76; p=0.006). Of note, amlodipine-diuretics treatment signific</w:t>
      </w:r>
      <w:bookmarkStart w:id="0" w:name="_GoBack"/>
      <w:bookmarkEnd w:id="0"/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</w:rPr>
        <w:t>antly lowered the risk of cardiovascular death (HR, 0.64; p=0.035) and fatal and nonfatal stroke (HR, 0.78; p=0.037) relative to amlodipine-telmisartan combination. Both treatments were safe and well tolerated.</w:t>
      </w:r>
    </w:p>
    <w:p w:rsidR="00DE381F" w:rsidRDefault="00C84D8C" w:rsidP="00DE381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 </w:t>
      </w: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amlodipine-diuretics combination was more efficacious in reducing cardiovascular events than the amlodipine-telmisartan combination in hypertensive patients with high risk for such events, independent of blood pressure reduction. </w:t>
      </w:r>
    </w:p>
    <w:p w:rsidR="00C84D8C" w:rsidRDefault="00C84D8C" w:rsidP="00DE38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81F">
        <w:rPr>
          <w:rFonts w:ascii="Times New Roman" w:eastAsia="Times New Roman" w:hAnsi="Times New Roman" w:cs="Times New Roman"/>
          <w:color w:val="000000"/>
          <w:sz w:val="24"/>
          <w:szCs w:val="24"/>
        </w:rPr>
        <w:t>(ClinicalTrials.gov number, NCT01011660)</w:t>
      </w:r>
    </w:p>
    <w:p w:rsidR="00DE381F" w:rsidRPr="00DE381F" w:rsidRDefault="00DE381F" w:rsidP="00DE38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2271"/>
        <w:gridCol w:w="2404"/>
        <w:gridCol w:w="1538"/>
        <w:gridCol w:w="647"/>
      </w:tblGrid>
      <w:tr w:rsidR="00C84D8C" w:rsidRPr="00DE381F" w:rsidTr="0099181E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D8C" w:rsidRPr="00DE381F" w:rsidRDefault="00C84D8C" w:rsidP="00DE3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Table 1: Hazard ratios for primary, secondary and other outcomes.</w:t>
            </w:r>
          </w:p>
        </w:tc>
      </w:tr>
      <w:tr w:rsidR="00C84D8C" w:rsidRPr="00DE381F" w:rsidTr="00991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Outcome-no.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Amlodipine-Diuretics Group (N=6776)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Amlodipine-Telmisartan Group (N=6766)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Hazard Ratio (95% 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 value</w:t>
            </w:r>
          </w:p>
        </w:tc>
      </w:tr>
      <w:tr w:rsidR="00C84D8C" w:rsidRPr="00DE381F" w:rsidTr="00991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Primary outcome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179 (2.6)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235 (3.5)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0.76 (0.63, 0.93)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C84D8C" w:rsidRPr="00DE381F" w:rsidTr="00991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Fatal and nonfatal stroke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127 (1.9)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163 (2.4)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0.78 (0.62, 0.99)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0.037</w:t>
            </w:r>
          </w:p>
        </w:tc>
      </w:tr>
      <w:tr w:rsidR="00C84D8C" w:rsidRPr="00DE381F" w:rsidTr="00991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Death from cardiovascular causes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37 (0.5)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58 (0.9)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0.64 (0.43, 0.97)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0.035</w:t>
            </w:r>
          </w:p>
        </w:tc>
      </w:tr>
      <w:tr w:rsidR="00C84D8C" w:rsidRPr="00DE381F" w:rsidTr="00991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Fatal and nonfatal myocardial infarction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35 (0.5)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38 (0.6)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0.93 (0.59, 1.47)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0.747</w:t>
            </w:r>
          </w:p>
        </w:tc>
      </w:tr>
      <w:tr w:rsidR="00C84D8C" w:rsidRPr="00DE381F" w:rsidTr="00991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Hospitalization for unstable angina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49 (0.7)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60 (0.9)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0.82 (0.56,1.20)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0.312</w:t>
            </w:r>
          </w:p>
        </w:tc>
      </w:tr>
      <w:tr w:rsidR="00C84D8C" w:rsidRPr="00DE381F" w:rsidTr="00991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Coronary revascularization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33 (0.5)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48 (0.7)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0.69 (0.44,1.08)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0.104</w:t>
            </w:r>
          </w:p>
        </w:tc>
      </w:tr>
      <w:tr w:rsidR="00C84D8C" w:rsidRPr="00DE381F" w:rsidTr="00991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Hospitalization for congestive heart failure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6 (0.1)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16 (0.2)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0.38 (0.15, 0.97)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0.042</w:t>
            </w:r>
          </w:p>
        </w:tc>
      </w:tr>
      <w:tr w:rsidR="00C84D8C" w:rsidRPr="00DE381F" w:rsidTr="00991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Composite of cardiovascular events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192 (2.8)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243 (3.6)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0.79 (0.66, 0.96)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0.016</w:t>
            </w:r>
          </w:p>
        </w:tc>
      </w:tr>
      <w:tr w:rsidR="00C84D8C" w:rsidRPr="00DE381F" w:rsidTr="00991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Death from any cause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110 (1.6)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98 (1.4)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1.13 (0.86, 1.48)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D8C" w:rsidRPr="00DE381F" w:rsidRDefault="00C84D8C" w:rsidP="00DE3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1F">
              <w:rPr>
                <w:rFonts w:ascii="Times New Roman" w:eastAsia="Times New Roman" w:hAnsi="Times New Roman" w:cs="Times New Roman"/>
                <w:sz w:val="20"/>
                <w:szCs w:val="20"/>
              </w:rPr>
              <w:t>0.385</w:t>
            </w:r>
          </w:p>
        </w:tc>
      </w:tr>
    </w:tbl>
    <w:p w:rsidR="00345DBB" w:rsidRPr="00DE381F" w:rsidRDefault="00294FAC" w:rsidP="00DE381F">
      <w:pPr>
        <w:rPr>
          <w:sz w:val="20"/>
          <w:szCs w:val="20"/>
        </w:rPr>
      </w:pPr>
    </w:p>
    <w:sectPr w:rsidR="00345DBB" w:rsidRPr="00DE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FAC" w:rsidRDefault="00294FAC" w:rsidP="00DE381F">
      <w:r>
        <w:separator/>
      </w:r>
    </w:p>
  </w:endnote>
  <w:endnote w:type="continuationSeparator" w:id="0">
    <w:p w:rsidR="00294FAC" w:rsidRDefault="00294FAC" w:rsidP="00DE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FAC" w:rsidRDefault="00294FAC" w:rsidP="00DE381F">
      <w:r>
        <w:separator/>
      </w:r>
    </w:p>
  </w:footnote>
  <w:footnote w:type="continuationSeparator" w:id="0">
    <w:p w:rsidR="00294FAC" w:rsidRDefault="00294FAC" w:rsidP="00DE3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8C"/>
    <w:rsid w:val="00294FAC"/>
    <w:rsid w:val="0030401F"/>
    <w:rsid w:val="008A10D5"/>
    <w:rsid w:val="00A128E1"/>
    <w:rsid w:val="00C84D8C"/>
    <w:rsid w:val="00DE381F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E621"/>
  <w15:chartTrackingRefBased/>
  <w15:docId w15:val="{0692FB70-19D7-497E-B119-6C6BB9D4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1F"/>
  </w:style>
  <w:style w:type="paragraph" w:styleId="Footer">
    <w:name w:val="footer"/>
    <w:basedOn w:val="Normal"/>
    <w:link w:val="FooterChar"/>
    <w:uiPriority w:val="99"/>
    <w:unhideWhenUsed/>
    <w:rsid w:val="00DE3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2018-05-28T19:10:00Z</dcterms:created>
  <dcterms:modified xsi:type="dcterms:W3CDTF">2018-05-28T19:13:00Z</dcterms:modified>
</cp:coreProperties>
</file>